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EDB" w:rsidRPr="00D92EDB" w:rsidRDefault="00D92EDB" w:rsidP="00352550">
      <w:pPr>
        <w:spacing w:after="0" w:line="240" w:lineRule="auto"/>
        <w:rPr>
          <w:rFonts w:ascii="Times New Roman" w:eastAsia="Calibri" w:hAnsi="Times New Roman" w:cs="Times New Roman"/>
        </w:rPr>
      </w:pPr>
      <w:r w:rsidRPr="00D92EDB">
        <w:rPr>
          <w:rFonts w:ascii="Times New Roman" w:eastAsia="Calibri" w:hAnsi="Times New Roman" w:cs="Times New Roman"/>
          <w:sz w:val="20"/>
        </w:rPr>
        <w:t xml:space="preserve">  </w:t>
      </w:r>
      <w:r w:rsidR="00352550">
        <w:rPr>
          <w:rFonts w:ascii="Times New Roman" w:eastAsia="Calibri" w:hAnsi="Times New Roman" w:cs="Times New Roman"/>
          <w:noProof/>
          <w:sz w:val="20"/>
          <w:lang w:eastAsia="ru-RU"/>
        </w:rPr>
        <w:drawing>
          <wp:inline distT="0" distB="0" distL="0" distR="0">
            <wp:extent cx="5939790" cy="8164485"/>
            <wp:effectExtent l="0" t="0" r="3810" b="8255"/>
            <wp:docPr id="1" name="Рисунок 1" descr="C:\Users\User\AppData\Local\Temp\Temp1_22-09-2021_08-30-24.zip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Temp1_22-09-2021_08-30-24.zip\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4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92EDB">
        <w:rPr>
          <w:rFonts w:ascii="Times New Roman" w:eastAsia="Calibri" w:hAnsi="Times New Roman" w:cs="Times New Roman"/>
          <w:sz w:val="20"/>
        </w:rPr>
        <w:t xml:space="preserve">       </w:t>
      </w:r>
    </w:p>
    <w:p w:rsidR="00D92EDB" w:rsidRPr="00D92EDB" w:rsidRDefault="00D92EDB" w:rsidP="00D92EDB">
      <w:pPr>
        <w:spacing w:after="0" w:line="240" w:lineRule="auto"/>
        <w:rPr>
          <w:rFonts w:ascii="Times New Roman" w:eastAsia="Calibri" w:hAnsi="Times New Roman" w:cs="Times New Roman"/>
          <w:sz w:val="20"/>
        </w:rPr>
      </w:pPr>
    </w:p>
    <w:p w:rsidR="00D92EDB" w:rsidRDefault="00D92EDB" w:rsidP="00352550">
      <w:pPr>
        <w:spacing w:after="179" w:line="259" w:lineRule="auto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</w:p>
    <w:p w:rsidR="00352550" w:rsidRPr="00D92EDB" w:rsidRDefault="00352550" w:rsidP="00352550">
      <w:pPr>
        <w:spacing w:after="179" w:line="259" w:lineRule="auto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D92EDB" w:rsidRPr="003E40D8" w:rsidRDefault="00D92EDB" w:rsidP="003E40D8">
      <w:pPr>
        <w:spacing w:after="181" w:line="259" w:lineRule="auto"/>
        <w:ind w:left="99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0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="003E40D8" w:rsidRPr="003E40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</w:t>
      </w:r>
      <w:r w:rsidR="003E40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</w:t>
      </w:r>
      <w:r w:rsidR="003E40D8" w:rsidRPr="003E40D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По</w:t>
      </w:r>
      <w:r w:rsidRPr="003E40D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яснительная записка</w:t>
      </w:r>
    </w:p>
    <w:p w:rsidR="00D92EDB" w:rsidRPr="00D92EDB" w:rsidRDefault="00D92EDB" w:rsidP="00D92EDB">
      <w:pPr>
        <w:spacing w:after="48" w:line="259" w:lineRule="auto"/>
        <w:ind w:left="154" w:right="642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к учебному плану </w:t>
      </w:r>
      <w:r w:rsidRPr="00D92EDB">
        <w:rPr>
          <w:rFonts w:ascii="Times New Roman" w:eastAsia="Calibri" w:hAnsi="Times New Roman" w:cs="Times New Roman"/>
          <w:b/>
          <w:szCs w:val="24"/>
        </w:rPr>
        <w:t xml:space="preserve">начального общего образования обучающихся с </w:t>
      </w:r>
      <w:r w:rsidRPr="00D92EDB">
        <w:rPr>
          <w:rFonts w:ascii="Times New Roman" w:eastAsia="Arial Unicode MS" w:hAnsi="Times New Roman" w:cs="Times New Roman"/>
          <w:b/>
          <w:kern w:val="1"/>
          <w:szCs w:val="24"/>
          <w:lang w:eastAsia="ar-SA"/>
        </w:rPr>
        <w:t>тяжелыми и множественными нарушениями развития</w:t>
      </w:r>
      <w:r w:rsidRPr="00D92EDB">
        <w:rPr>
          <w:rFonts w:ascii="Times New Roman" w:eastAsia="Calibri" w:hAnsi="Times New Roman" w:cs="Times New Roman"/>
          <w:b/>
          <w:szCs w:val="24"/>
        </w:rPr>
        <w:t xml:space="preserve"> </w:t>
      </w:r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>(</w:t>
      </w:r>
      <w:r w:rsidRPr="00D92EDB">
        <w:rPr>
          <w:rFonts w:ascii="Times New Roman" w:eastAsia="Times New Roman" w:hAnsi="Times New Roman" w:cs="Times New Roman"/>
          <w:b/>
          <w:szCs w:val="24"/>
          <w:lang w:val="en-US" w:eastAsia="ar-SA"/>
        </w:rPr>
        <w:t>II</w:t>
      </w:r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 xml:space="preserve"> вариант)  </w:t>
      </w:r>
    </w:p>
    <w:p w:rsidR="00D92EDB" w:rsidRPr="00D92EDB" w:rsidRDefault="00D92EDB" w:rsidP="00D92EDB">
      <w:pPr>
        <w:spacing w:after="48" w:line="259" w:lineRule="auto"/>
        <w:ind w:left="154" w:right="642" w:hanging="10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в форме индивидуального обучения на дому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D92EDB" w:rsidRPr="00D92EDB" w:rsidRDefault="00D92EDB" w:rsidP="00D92EDB">
      <w:pPr>
        <w:spacing w:after="95" w:line="259" w:lineRule="auto"/>
        <w:ind w:right="1001"/>
        <w:jc w:val="center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D92EDB" w:rsidRPr="00D92EDB" w:rsidRDefault="00D92EDB" w:rsidP="00D92EDB">
      <w:pPr>
        <w:spacing w:after="43" w:line="275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Учебный план 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>индивидуального обучения на дому ГБОУ «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Татарско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proofErr w:type="gram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–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</w:t>
      </w:r>
      <w:proofErr w:type="gram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лтанская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школа – интернат для детей с ограниченными возможностями здоровья» разработан  в 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соответствии 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с 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ab/>
        <w:t xml:space="preserve">требованиями нормативных документов:  </w:t>
      </w:r>
    </w:p>
    <w:p w:rsidR="00D92EDB" w:rsidRPr="00D92EDB" w:rsidRDefault="00D92EDB" w:rsidP="00D92EDB">
      <w:pPr>
        <w:spacing w:after="127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1. Закона от 29.12.2012 №273-ФЗ «Об образовании в Российской Федерации»;</w:t>
      </w:r>
    </w:p>
    <w:p w:rsidR="00D92EDB" w:rsidRPr="00D92EDB" w:rsidRDefault="00D92EDB" w:rsidP="00D92EDB">
      <w:pPr>
        <w:spacing w:after="3" w:line="30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2. Федерального закона от 24 июля 1998 г. № 124-ФЗ «Об основных гарантиях прав ребенка в Российской Федерации»;</w:t>
      </w:r>
    </w:p>
    <w:p w:rsidR="00D92EDB" w:rsidRPr="00D92EDB" w:rsidRDefault="00D92EDB" w:rsidP="00D92EDB">
      <w:pPr>
        <w:spacing w:after="26" w:line="257" w:lineRule="auto"/>
        <w:ind w:right="-13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3. Приказа 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Минобрнауки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России от 19 декабря 2014 г. № 1599 «Об утверждении Федерального государственного образовательного стандарта обучающихся с умственной отсталостью (интеллектуальными нарушениями)»;</w:t>
      </w: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4. Примерной адаптированной основной образовательной программы общего образования, разработанной на основе ФГОС для обучающихся с умственной отсталостью (интеллектуальными нарушениями), одобренной</w:t>
      </w: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решением федерального учебно-методического объединения по общему образованию (протокол от 22 декабря 2015 г. № 4/15); 5. Приказа Министерства образования и науки Российской Федерации от 30 августа 2011 г.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начального общего, основного общего и среднего общего образования»;</w:t>
      </w: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6. Постановления Главного государственного санитарного врача Российской Федерации от 10 июля 2015 г. № 26</w:t>
      </w: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 xml:space="preserve"> 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«Об утверждении САНПИН 2.4.2.3286 - 15 "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Санитарно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– 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общеобразовательным программам для обучающихся с ограниченными возможностями здоровья»;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7. Приказа 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Минобрнауки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России от 31 марта 2014 года № 253 (в последней редакции) «Об утверждении федерального перечня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8. Письма Министерства образования и науки Российской Федерации от 13.10.2011 г. № 19-255 «О направлении рекомендации» (Рекомендации по совершенствованию преподавания физической культуры в специальных (коррекционных) заведениях); </w:t>
      </w:r>
    </w:p>
    <w:p w:rsidR="00D92EDB" w:rsidRPr="00D92EDB" w:rsidRDefault="00D92EDB" w:rsidP="00D92EDB">
      <w:pPr>
        <w:spacing w:after="79" w:line="308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9. Письма Минобразования России от 31.10.2003 № 13-51-263/123 «Об оценивании и аттестации учащихся, отнесенных по состоянию здоровья к специальной медицинской группе для занятий физической культурой»; </w:t>
      </w:r>
    </w:p>
    <w:p w:rsidR="00D92EDB" w:rsidRPr="00D92EDB" w:rsidRDefault="00D92EDB" w:rsidP="00D92EDB">
      <w:pPr>
        <w:spacing w:after="79" w:line="308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10.</w:t>
      </w:r>
      <w:r w:rsidRPr="00D92EDB">
        <w:rPr>
          <w:rFonts w:ascii="Times New Roman" w:eastAsia="Times New Roman" w:hAnsi="Times New Roman" w:cs="Times New Roman"/>
          <w:color w:val="0D0D0D"/>
          <w:sz w:val="24"/>
          <w:lang w:eastAsia="ru-RU"/>
        </w:rPr>
        <w:t>Приказа МОРФ от 10.04.2002г.№29/2065-п «Об утверждении учебных планов специальных (коррекционных) образовательных учреждений для обучающихся, воспитанников с отклонениями в развитии»;</w:t>
      </w:r>
    </w:p>
    <w:p w:rsidR="00D92EDB" w:rsidRPr="00D92EDB" w:rsidRDefault="00D92EDB" w:rsidP="00D92EDB">
      <w:pPr>
        <w:spacing w:after="79" w:line="308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11.</w:t>
      </w:r>
      <w:r w:rsidRPr="00D92EDB">
        <w:rPr>
          <w:rFonts w:ascii="Arial" w:eastAsia="Arial" w:hAnsi="Arial" w:cs="Arial"/>
          <w:color w:val="000000"/>
          <w:sz w:val="24"/>
          <w:lang w:eastAsia="ru-RU"/>
        </w:rPr>
        <w:t xml:space="preserve"> </w:t>
      </w:r>
      <w:r w:rsidRPr="00D92EDB">
        <w:rPr>
          <w:rFonts w:ascii="Times New Roman" w:eastAsia="Times New Roman" w:hAnsi="Times New Roman" w:cs="Times New Roman"/>
          <w:color w:val="0D0D0D"/>
          <w:sz w:val="24"/>
          <w:lang w:eastAsia="ru-RU"/>
        </w:rPr>
        <w:t>Письма Министерства Просвещения РФ «Об организации образования учащихся на дому» №ТС-1391/07 от 13 июня 2019 года;</w:t>
      </w:r>
    </w:p>
    <w:p w:rsidR="00D92EDB" w:rsidRPr="00D92EDB" w:rsidRDefault="00D92EDB" w:rsidP="00D92EDB">
      <w:pPr>
        <w:spacing w:after="10" w:line="308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D0D0D"/>
          <w:sz w:val="24"/>
          <w:lang w:eastAsia="ru-RU"/>
        </w:rPr>
        <w:lastRenderedPageBreak/>
        <w:t>12. Письма Федеральной службы по надзору в сфере образования и науки «Об обучении лиц, находящихся на домашнем обучении» №05-283 от 07.08.2018 г.;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</w:p>
    <w:p w:rsidR="00D92EDB" w:rsidRPr="00D92EDB" w:rsidRDefault="00D92EDB" w:rsidP="00D92EDB">
      <w:pPr>
        <w:spacing w:after="0" w:line="256" w:lineRule="auto"/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</w:pPr>
      <w:r w:rsidRPr="00D92EDB">
        <w:rPr>
          <w:rFonts w:ascii="Times New Roman" w:eastAsia="Calibri" w:hAnsi="Times New Roman" w:cs="Times New Roman"/>
          <w:bCs/>
          <w:kern w:val="24"/>
          <w:sz w:val="24"/>
          <w:szCs w:val="24"/>
          <w:lang w:eastAsia="ru-RU"/>
        </w:rPr>
        <w:t xml:space="preserve">13.Постановления Главного государственного санитарного врача РФ от 28.01.2021 № 2, СанПиН 1.2.3685-21; </w:t>
      </w:r>
    </w:p>
    <w:p w:rsidR="00D92EDB" w:rsidRPr="00D92EDB" w:rsidRDefault="00D92EDB" w:rsidP="00D92EDB">
      <w:pPr>
        <w:spacing w:after="0" w:line="240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14.Устава ГБОУ «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Татарско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–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Елтанская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школа – интернат для детей с ограниченными возможностями здоровья» и локальных актов к нему;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15. Положения ГБОУ </w:t>
      </w:r>
      <w:r w:rsidRPr="00D92EDB">
        <w:rPr>
          <w:rFonts w:ascii="Times New Roman" w:eastAsia="Times New Roman" w:hAnsi="Times New Roman" w:cs="Times New Roman"/>
          <w:b/>
          <w:color w:val="000000"/>
          <w:sz w:val="24"/>
          <w:lang w:eastAsia="ru-RU"/>
        </w:rPr>
        <w:t>«</w:t>
      </w: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  порядке организации обучения на дому детей, нуждающихся в длительном лечении, и (или) детей-инвалидов по адаптированным образовательным программам начального общего, основного общего образования»;</w:t>
      </w:r>
    </w:p>
    <w:p w:rsidR="00D92EDB" w:rsidRPr="00D92EDB" w:rsidRDefault="00D92EDB" w:rsidP="00D92EDB">
      <w:pPr>
        <w:spacing w:after="232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Организация индивидуального обучения на дому осуществляется с целью обеспечения обучающимся с ОВЗ получения образования в соответствии с их индивидуальными возможностями и способностями в адекватной их здоровью среде обучения на основании заключения  ПМПК, справки ВК, заявления родителей (законных представителей), договора, приказа директора школ</w:t>
      </w:r>
      <w:proofErr w:type="gram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ы-</w:t>
      </w:r>
      <w:proofErr w:type="gram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интерната. 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Обучение осуществляется на дому в пределах часов, предусмотренных Министерством просвещения, по предметам, входящим в учебный план учреждения, по заявлению родителей (законных представителей) и решению администрации ОО.      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В классе  для обучающихся с тяжелыми и множественными нарушениями развития, осваивающих вариант 2 АООП образования обучающихся с умственной отсталостью (по ФГОС с УО) оценивание уровня освоения учебных предметов осуществляется в формах вербального поощрения,   по 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безотметочной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системе.   </w:t>
      </w:r>
    </w:p>
    <w:p w:rsidR="00D92EDB" w:rsidRPr="00D92EDB" w:rsidRDefault="00D92EDB" w:rsidP="00D92EDB">
      <w:pPr>
        <w:spacing w:after="0" w:line="275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</w:t>
      </w:r>
    </w:p>
    <w:p w:rsidR="00D92EDB" w:rsidRPr="00D92EDB" w:rsidRDefault="00D92EDB" w:rsidP="00D92EDB">
      <w:pPr>
        <w:spacing w:after="74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Решение о переводе на другой вариант обучения оформляется на основании рекомендации ПМПК после обследования ребенка и анализа документов, представленных школой. </w:t>
      </w:r>
    </w:p>
    <w:p w:rsidR="00D92EDB" w:rsidRPr="00D92EDB" w:rsidRDefault="00D92EDB" w:rsidP="00D92EDB">
      <w:pPr>
        <w:spacing w:after="263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Расписание занятий составляется с учетом индивидуальных особенностей ребенка, в соответствии с нормами </w:t>
      </w:r>
      <w:proofErr w:type="spell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СаНПиН</w:t>
      </w:r>
      <w:proofErr w:type="spell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, согласовывается с родителями (законными представителями) и утверждается директором школы -интерната.  </w:t>
      </w:r>
    </w:p>
    <w:p w:rsidR="00D92EDB" w:rsidRPr="00D92EDB" w:rsidRDefault="00D92EDB" w:rsidP="00D92EDB">
      <w:pPr>
        <w:spacing w:after="2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  Начало и продолжительность учебного года и каникул устанавливается в соответствии со сроками, действующими для школы- интерната. Продолжительность учебной недели в течение всех лет обучения – 5 дней. Продолжительность учебного года составляет 34 недели. </w:t>
      </w:r>
    </w:p>
    <w:p w:rsidR="00D92EDB" w:rsidRPr="00D92EDB" w:rsidRDefault="00D92EDB" w:rsidP="00D92EDB">
      <w:pPr>
        <w:spacing w:after="26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 Процесс обучения по предметам организуется в форме урока. Учитель проводит индивидуальную работу с обучающимся в соответствии с расписанием уроков. Продолжительность индивидуальных занятий до  25 мин. </w:t>
      </w:r>
    </w:p>
    <w:p w:rsidR="00D92EDB" w:rsidRPr="00D92EDB" w:rsidRDefault="00D92EDB" w:rsidP="00D92EDB">
      <w:pPr>
        <w:spacing w:after="54" w:line="257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    Все учебные предметы, общеобразовательные, коррекционные и трудовые, для обучающихся  с умеренной и тяжелой степенью умственной отсталости максимально индивидуализированы и </w:t>
      </w:r>
      <w:proofErr w:type="gramStart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направлены</w:t>
      </w:r>
      <w:proofErr w:type="gramEnd"/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прежде всего на решение вопроса развития их речи, как ее регулирующей, так и коммуникативной функций. Детей учат понимать обращенную к ним речь, выполнять несложные инструкции, подчинять свою деятельность воле взрослого, в данном случае учителя. </w:t>
      </w:r>
    </w:p>
    <w:p w:rsidR="00D92EDB" w:rsidRPr="00D92EDB" w:rsidRDefault="00D92EDB" w:rsidP="00D92EDB">
      <w:pPr>
        <w:spacing w:after="0" w:line="259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Учебный план школы, реализующей вариант 2 АООП,   включает две части: обязательную часть и часть, формируемую участниками образовательных отношений, а также состоит из часов, необходимых для проведения </w:t>
      </w:r>
      <w:proofErr w:type="spellStart"/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реабилитационно</w:t>
      </w:r>
      <w:proofErr w:type="spellEnd"/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- коррекционных мероприятий.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I – обязательная часть, включает: 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Шесть предметных областей, представленных десятью учебными предметами;</w:t>
      </w:r>
      <w:r w:rsidRPr="00D92EDB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ar-SA"/>
        </w:rPr>
        <w:t xml:space="preserve">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коррекционно-развивающие занятия, проводимые учителем-логопедом, учителем или учителем-дефектологом;   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val="en-US" w:eastAsia="ar-SA"/>
        </w:rPr>
        <w:t>II</w:t>
      </w: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– часть, формируемая участниками образовательного процесса, включает: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коррекционные курсы, проводимые различными специалистами;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Внеурочные мероприятия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Обязательная часть АООП для обучающихся с  тяжелыми и множественными нарушениями развития составляет не менее 60%, а часть, формируемая участниками образовательных отношений не более 40% от общего объема АООП.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 отдельных случаях соотношение объема обязательной части СИПР и части, формируемой участниками образовательных отношений, определяется индивидуальными образовательными возможностями обучающегося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Cs/>
          <w:iCs/>
          <w:sz w:val="24"/>
          <w:szCs w:val="24"/>
          <w:lang w:eastAsia="ar-SA"/>
        </w:rPr>
        <w:t xml:space="preserve">Коррекционные курсы 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включают:  </w:t>
      </w:r>
      <w:proofErr w:type="gramStart"/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«Сенсорное развитие» - 0,25 ч., «Предметно-практические действия» - 0,25 ч., «Двигательное развитие» - 0,25 ч, «Альтернативная коммуникация» - 0,25 ч. Всего 1 час.</w:t>
      </w:r>
      <w:proofErr w:type="gramEnd"/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В соответствии с учебным планом устанавливается следующая продолжительность учебного года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2 класс - 35 учебные недели.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Продолжительность каникул не менее 30 календарных дней в учебном году, летом - 8 календарных недель, продолжительность учебной недели в течение всех лет обучения - 6 дней.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проводится без балльного оценивания знаний обучающихся  и домашних заданий;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Вариант 2 предполагает, что обучающийся с тяжелыми и множественными нарушениями развития получает образование,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сверстников, не имеющих ограничений здоровья, в пролонгированные сроки.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Предметом итоговой оценки освоения обучающимися АООП должно быть достижение результатов освоения СИПР последнего года обучения и развитие жизненной компетенции обучающихся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Особенности учебного плана для обучающихся с ТМНР 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Учебный план предполагает, что обучающийся), с ТМНР в соответствии с уровнем развития интеллекта получает образование по АООП, которое по содержанию и итоговым достижениям определяется его индивидуальными возможностями. На основе АООП организация разрабатывает специальную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индивидуальную программ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у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развития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(СИПР), учитывающую специфические образовательные потребности обучающегося.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При реализации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варианта 2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в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форме обучения ребенка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обязательным является расширение его жизненного опыта и социальных контактов в доступных для него пределах. Обязательной является специальная организация среды для реализации особых образовательных потребностей обучающегося, развитие его жизненной компетенции в разных социальных сферах (образовательной, семейной, досуговой, трудовой и других). СИПР предусматривает не только адаптацию ребенка к условиям домашней жизни, но и доступное ему социальное развитие.       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Учебный план включает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обязательную часть учебного плана и часть, формируемую участниками образовательных отношений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Обязательная часть учебного плана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определяет состав учебных предметов обязательных предметных областей, которые должны быть реализованы во всех имеющих государственную аккредитацию образовательных организациях, реализующих вариант 2 АООП, и учебное время, отводимое на их изучение по классам (годам) обучения. Обязательная часть учебного плана отражает содержание образования, которое 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обеспечивает достижение важнейших целей современного образования обучающихся с умственной отсталостью (интеллектуальными нарушениями):  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-формирование жизненных компетенций, обеспечивающих овладение системой социальных отношений и социальное развитие обучающегося, а также его интеграцию в социальное окружение; 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-формирование основ духовно-нравственного развития обучающихся, приобщение их к общекультурным, национальным и этнокультурным ценностям;   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-формирование здорового образа жизни, элементарных правил поведения в экстремальных ситуациях.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Обязательная часть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учебного плана включает обязательные предметные области: язык и речевая практика, математика, окружающий мир, искусство, технология, физическая культура.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При этом выделяются основные задачи реализации содержания каждой предметной области.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Предметная область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: </w:t>
      </w:r>
    </w:p>
    <w:p w:rsidR="00D92EDB" w:rsidRPr="00D92EDB" w:rsidRDefault="00D92EDB" w:rsidP="00D92ED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Язык и речевая практика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- Речь и альтернативная коммуникация. 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: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Развитие речи как средства общения в контексте познания окружающего мира и личного опыта ребенка. Овладение доступными средствами коммуникации и общения – вербальными и невербальными. Умение пользоваться доступными средствами коммуникации в практике экспрессивной и </w:t>
      </w:r>
      <w:proofErr w:type="spellStart"/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импрессивной</w:t>
      </w:r>
      <w:proofErr w:type="spellEnd"/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речи для решения соответствующих возрасту житейских задач. Глобальное чтение в доступных ребенку пределах, понимание смысла узнаваемого слова. Развитие предпосылок к осмысленному чтению и письму, обучение чтению и письму.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Предметная область: Математика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: Элементарные математические представления о форме, величине; количественные (</w:t>
      </w:r>
      <w:proofErr w:type="spellStart"/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дочисловые</w:t>
      </w:r>
      <w:proofErr w:type="spellEnd"/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), пространственные, временные представления. Представления о количестве, числе, знакомство с цифрами, составом числа в доступных ребенку пределах, счет, решение простых арифметических задач с опорой на наглядность. Использование математических знаний при решении соответствующих возрасту житейских задач.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Предметная область: Окружающий мир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(Окружающий природный мир. Человек. Домоводство. Окружающий социальный мир.)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i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Calibri" w:hAnsi="Times New Roman" w:cs="Times New Roman"/>
          <w:i/>
          <w:sz w:val="24"/>
          <w:szCs w:val="24"/>
          <w:lang w:eastAsia="ar-SA"/>
        </w:rPr>
        <w:t xml:space="preserve">: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 xml:space="preserve"> Окружающий природный мир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Формирование представлений о явлениях и объектах неживой природы, смене времен года и соответствующих сезонных изменениях в природе, умения адаптироваться к конкретным природным и климатическим условиям. Формирование представлений о животном и растительном мире, их значении в жизни человека.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Человек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.Представление о себе как «Я», осознание общности и различий «Я» от других. Умение решать каждодневные жизненные задачи, связанные с удовлетворением первоочередных потребностей: прием пищи, туалет, гигиена тела, одевание/раздевание. Умение поддерживать образ жизни, соответствующий возрасту, потребностям и ограничениям здоровья; поддерживать режим дня с необходимыми оздоровительными процедурами. Представления о своей семье, о взаимоотношениях в семье.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Окружающий социальный мир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Формирование первоначальных представлений о мире, созданном человеком: о доме, школе, о расположенных в них и рядом объектах, о транспорте и т.д. Усвоение правил безопасного поведения в помещении и на улице. Представления об окружающих людях: овладение первоначальными представлениями о социальной жизни, о 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профессиональных и социальных ролях людей. Развитие межличностных и групповых отношений. Накопление положительного опыта сотрудничества и участия в общественной жизни. Формирование представлений об обязанностях и правах ребенка. Представление о своей стране (Россия).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Предметная область: Искусство (музыка и движение, изобразительная деятельность)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содержания: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Музыка и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движение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. Накопление впечатлений и формирование интереса к доступным видам музыкального искусства. Развитие слуховых и двигательных восприятий, танцевальных, певческих, хоровых умений, освоение игры на доступных музыкальных инструментах, эмоциональное и практическое обогащение опыта в процессе музыкальных занятий, игр, музыкально-танцевальных, вокальных и инструментальных выступлений. Готовность к участию в совместных музыкальных мероприятиях. Изобразительная деятельность (рисование, лепка, аппликация). Накопление впечатлений и формирование интереса к доступным видам изобразительного искусства. Формирование простейших эстетических ориентиров (красиво – не красиво) в практической жизни и их использование в организации обыденной жизни и праздника. Освоение доступных средств изобразительной деятельности: лепка, рисование, аппликация; использование различных изобразительных технологий. Развитие способности к совместной и самостоятельной изобразительной деятельности. Накопление опыта самовыражения в процессе изобразительной деятельности.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Предметная область: Физическая культура;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Физическая культура (Адаптивная физическая культура).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содержания: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Адаптивная физкультура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. Развитие восприятия собственного тела, осознание своих физических возможностей и ограничений. Освоение доступных способов передвижения (в том числе с использованием технических средств). Соотнесение самочувствия с настроением, собственной активностью, самостоятельностью и независимостью. Формирование двигательных навыков, координации движений, физических качеств. Освоение доступных видов физкультурно-спортивной деятельности: велосипедная езда, ходьба на лыжах, спортивные и подвижные игры и др.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 целях обеспечения индивидуальных потребностей обучающихся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часть учебного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плана, формируемая участниками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образовательных отношений, предусматривает введение учебных курсов, обеспечивающих удовлетворение особых образовательных потребностей обучающихся с умственной отсталостью (интеллектуальными нарушениями) и необходимую коррекцию недостатков в психическом и/или физическом развитии.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В часть,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формируемую участниками образовательных отношений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, входит внеурочная деятельность. Организация занятий по направлениям внеурочной деятельности является неотъемлемой частью образовательного процесса.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Коррекционно-развивающей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область является обязательной частью внеурочной деятельности, поддерживающей процесс освоения АООП. Содержание определяется для каждого обучающегося с учетом его особых образовательных потребностей на основе рекомендаций ПМПК, ИПРА. Содержание </w:t>
      </w: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коррекционно-развивающей области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представлено следующими обязательными коррекционными курсами: «Сенсорное развитие», «Предметно- практические действия», «Двигательное развитие», «Альтернативная дополнительная коммуникация».       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Содержание данной области может быть дополнено организацией самостоятельно на основании рекомендаций ПМПК, ИПР.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Сенсорное развитие.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содержания: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Обогащение чувственного опыта через целенаправленное систематическое воздействие на различные анализаторы. Развитие зрительного, слухового, тактильного, кинестетического восприятия, а так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же восприятие запаха и вкуса как пропедевтика формирования навыков общения, предметно-практической и познавательной де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ятельности.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Предметно-практические действия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Формирование интереса к предметному рукотворному миру; ос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воение простых действий с предметами и материалами; умение следовать определенному порядку (алгоритму/ расписанию) при выполнении предметных действий. Овладение навыками предметно-практической деятельности как необходимой основой для самообслуживания, коммуникации, изобразительной, бытовой и трудовой деятельности.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Двигательное развитие.</w:t>
      </w: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Мотивация двигательной активности; поддержка и развитие имеющихся движений, расширение диапазона движений и профилактика возможных нарушений. Обучение переходу из одной позы в другую; освоение новых способов передвижения (включая передвижение с помощью технических средств реабилитации); формирование функциональных дви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га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ных навыков; развитие функции руки, в том числе мелкой моторики; формирование ориентировки в пространстве; обогащение сенсомоторного опыта.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Альтернативная коммуникация.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Освоение доступных средств невербальной коммуни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>ка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ции: взгляда, мимики, жеста, предмета, графического изображения, знаковой системы. Освоение </w:t>
      </w:r>
      <w:r w:rsidRPr="00D92EDB">
        <w:rPr>
          <w:rFonts w:ascii="Times New Roman" w:eastAsia="ArialMT" w:hAnsi="Times New Roman" w:cs="Times New Roman"/>
          <w:sz w:val="24"/>
          <w:szCs w:val="24"/>
          <w:lang w:eastAsia="ar-SA"/>
        </w:rPr>
        <w:t xml:space="preserve">таблицы букв, 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карточек с напечатанными словами, набора букв как средства коммуникации. Составление коммуникативных таблиц и коммуникативных тетрадей для общения в школе, до</w:t>
      </w: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softHyphen/>
        <w:t xml:space="preserve">ма и в других местах. Освоение технических коммуникативных устройств.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Коррекционно-развивающие занятия.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  <w:t>Основные задачи реализации содержания</w:t>
      </w:r>
      <w:r w:rsidRPr="00D92EDB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ar-SA"/>
        </w:rPr>
        <w:t>: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SimSun" w:hAnsi="Times New Roman" w:cs="Times New Roman"/>
          <w:sz w:val="24"/>
          <w:szCs w:val="24"/>
          <w:lang w:eastAsia="hi-IN" w:bidi="hi-IN"/>
        </w:rPr>
      </w:pPr>
      <w:r w:rsidRPr="00D92EDB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Коррекция отдельных сторон психической деятельности и личностной сферы. Формирование социально приемлемых форм поведения, сведение к минимуму проявлений деструктивного поведения: крик, агрессия, </w:t>
      </w:r>
      <w:proofErr w:type="spellStart"/>
      <w:r w:rsidRPr="00D92EDB">
        <w:rPr>
          <w:rFonts w:ascii="Times New Roman" w:eastAsia="SimSun" w:hAnsi="Times New Roman" w:cs="Times New Roman"/>
          <w:sz w:val="24"/>
          <w:szCs w:val="24"/>
          <w:lang w:eastAsia="hi-IN" w:bidi="hi-IN"/>
        </w:rPr>
        <w:t>самоагрессия</w:t>
      </w:r>
      <w:proofErr w:type="spellEnd"/>
      <w:r w:rsidRPr="00D92EDB">
        <w:rPr>
          <w:rFonts w:ascii="Times New Roman" w:eastAsia="SimSun" w:hAnsi="Times New Roman" w:cs="Times New Roman"/>
          <w:sz w:val="24"/>
          <w:szCs w:val="24"/>
          <w:lang w:eastAsia="hi-IN" w:bidi="hi-IN"/>
        </w:rPr>
        <w:t xml:space="preserve">, стереотипии и др. Коррекция речевых расстройств и нарушений коммуникации. Дополнительная помощь в освоении отдельных действий и представлений, которые оказываются для обучающихся особенно трудными. Развитие индивидуальных способностей обучающихся, их творческого потенциала.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Содержание данной области может быть дополнено образовательной организацией самостоятельно, исходя из психофизических особенностей обучающихся на основании рекомендаций ПМПК, ИПРА.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Чередование учебной и внеурочной деятельности определяется образовательным учреждением самостоятельно. 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Продолжительность перемены между урочной и внеурочной деятельностью составляет не менее 30 минут.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 xml:space="preserve">Внеурочная деятельность 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Программа внеурочной деятельности, направлена на социально-эмоциональное, спортивно-оздоровительное, творческое, нравственное, познавательное, общекультурное развитие личности средствами физического, нравственного, эстетического, трудового воспитания. Внеурочная деятельность также направлена на расширение контактов обучающихся с обычно развивающимися сверстниками и взаимодействие с разными людьми. Программа внеурочной деятельности должна предусматривать организацию и проведение специальных внеурочных мероприятий, направленных на развитие личности обучающихся, конкурсы, выставки, таких как: игры, экскурсии, занятия в кружках по </w:t>
      </w: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>интересам, творческие фестивали и, соревнования («веселые старты», олимпиады), праздники, лагеря, походы, реализация доступных проектов и др. Внеурочная деятельность, должна способствовать социальной интеграции обучающихся путем организации и проведения мероприятий, в которых предусмотрена совместная деятельность обучающихся с умственной отсталостью (интеллектуальными нарушениями) и обучающихся, не имеющих каких-либо нарушений развития, из различных организаций. Виды совместной внеурочной деятельности необходимо подбирать с учетом возможностей и интересов как обучающихся с нарушениями развития, так и их обычно развивающихся сверстников. Для результативного процесса интеграции в ходе внеурочных мероприятий важно обеспечить условия, благоприятствующие самореализации и успешной совместной деятельности для всех ее участников.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Задачи и мероприятия, реализуемые на внеурочной деятельности, включаются в СИПР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sz w:val="24"/>
          <w:szCs w:val="24"/>
          <w:lang w:eastAsia="ar-SA"/>
        </w:rPr>
        <w:t>Внеурочная деятельность организуется по направлениям развития личности и в сумме составляет 1 час в неделю: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Социальное – 0,2 ч.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Спортивно-оздоровительное – 0,2 ч.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Нравственное- 0,2 ч.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Общеинтеллектуальное</w:t>
      </w:r>
      <w:proofErr w:type="spellEnd"/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0,2 ч.</w:t>
      </w:r>
    </w:p>
    <w:p w:rsidR="00D92EDB" w:rsidRPr="00D92EDB" w:rsidRDefault="00D92EDB" w:rsidP="00D92EDB">
      <w:pPr>
        <w:spacing w:after="0" w:line="240" w:lineRule="auto"/>
        <w:ind w:left="57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EDB">
        <w:rPr>
          <w:rFonts w:ascii="Times New Roman" w:eastAsia="Times New Roman" w:hAnsi="Times New Roman" w:cs="Times New Roman"/>
          <w:sz w:val="24"/>
          <w:szCs w:val="24"/>
          <w:lang w:eastAsia="ar-SA"/>
        </w:rPr>
        <w:t>Общекультурное- 0,2 ч.</w:t>
      </w:r>
    </w:p>
    <w:p w:rsidR="00904C52" w:rsidRDefault="00904C52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D92EDB" w:rsidRDefault="00D92EDB"/>
    <w:p w:rsidR="00192F2C" w:rsidRDefault="00192F2C"/>
    <w:p w:rsidR="00D92EDB" w:rsidRPr="00352550" w:rsidRDefault="00352550" w:rsidP="00D92EDB">
      <w:pPr>
        <w:spacing w:after="0" w:line="240" w:lineRule="auto"/>
        <w:rPr>
          <w:rFonts w:ascii="Times New Roman" w:eastAsia="Calibri" w:hAnsi="Times New Roman" w:cs="Times New Roman"/>
        </w:rPr>
      </w:pPr>
      <w:r>
        <w:rPr>
          <w:noProof/>
          <w:lang w:eastAsia="ru-RU"/>
        </w:rPr>
        <w:drawing>
          <wp:inline distT="0" distB="0" distL="0" distR="0">
            <wp:extent cx="5939790" cy="1432238"/>
            <wp:effectExtent l="0" t="0" r="3810" b="0"/>
            <wp:docPr id="2" name="Рисунок 2" descr="C:\Users\User\AppData\Local\Microsoft\Windows\INetCache\Content.Word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Microsoft\Windows\INetCache\Content.Word\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432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2EDB" w:rsidRPr="00D92EDB">
        <w:rPr>
          <w:rFonts w:ascii="Times New Roman" w:eastAsia="Calibri" w:hAnsi="Times New Roman" w:cs="Times New Roman"/>
          <w:sz w:val="20"/>
        </w:rPr>
        <w:t xml:space="preserve"> </w:t>
      </w:r>
      <w:bookmarkStart w:id="0" w:name="_GoBack"/>
      <w:bookmarkEnd w:id="0"/>
    </w:p>
    <w:p w:rsidR="00D92EDB" w:rsidRPr="00D92EDB" w:rsidRDefault="00D92EDB" w:rsidP="00D92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4"/>
        </w:rPr>
      </w:pPr>
      <w:r w:rsidRPr="00D92EDB">
        <w:rPr>
          <w:rFonts w:ascii="Times New Roman" w:eastAsia="Calibri" w:hAnsi="Times New Roman" w:cs="Times New Roman"/>
          <w:b/>
          <w:szCs w:val="24"/>
        </w:rPr>
        <w:t xml:space="preserve">Учебный план </w:t>
      </w:r>
    </w:p>
    <w:p w:rsidR="003E40D8" w:rsidRDefault="00D92EDB" w:rsidP="00D92ED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Cs w:val="24"/>
          <w:lang w:eastAsia="ar-SA"/>
        </w:rPr>
      </w:pPr>
      <w:r w:rsidRPr="00D92EDB">
        <w:rPr>
          <w:rFonts w:ascii="Times New Roman" w:eastAsia="Calibri" w:hAnsi="Times New Roman" w:cs="Times New Roman"/>
          <w:b/>
          <w:szCs w:val="24"/>
        </w:rPr>
        <w:t xml:space="preserve">начального общего образования обучающихся с </w:t>
      </w:r>
      <w:r w:rsidRPr="00D92EDB">
        <w:rPr>
          <w:rFonts w:ascii="Times New Roman" w:eastAsia="Arial Unicode MS" w:hAnsi="Times New Roman" w:cs="Times New Roman"/>
          <w:b/>
          <w:kern w:val="1"/>
          <w:szCs w:val="24"/>
          <w:lang w:eastAsia="ar-SA"/>
        </w:rPr>
        <w:t>тяжелыми и множественными нарушениями развития</w:t>
      </w:r>
      <w:r w:rsidRPr="00D92EDB">
        <w:rPr>
          <w:rFonts w:ascii="Times New Roman" w:eastAsia="Calibri" w:hAnsi="Times New Roman" w:cs="Times New Roman"/>
          <w:b/>
          <w:szCs w:val="24"/>
        </w:rPr>
        <w:t xml:space="preserve"> </w:t>
      </w:r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>(</w:t>
      </w:r>
      <w:r w:rsidRPr="00D92EDB">
        <w:rPr>
          <w:rFonts w:ascii="Times New Roman" w:eastAsia="Times New Roman" w:hAnsi="Times New Roman" w:cs="Times New Roman"/>
          <w:b/>
          <w:szCs w:val="24"/>
          <w:lang w:val="en-US" w:eastAsia="ar-SA"/>
        </w:rPr>
        <w:t>II</w:t>
      </w:r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 xml:space="preserve"> вариант)  ГБОУ «Татарско-</w:t>
      </w:r>
      <w:proofErr w:type="spellStart"/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>Елтанская</w:t>
      </w:r>
      <w:proofErr w:type="spellEnd"/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 xml:space="preserve"> школ</w:t>
      </w:r>
      <w:proofErr w:type="gramStart"/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>а-</w:t>
      </w:r>
      <w:proofErr w:type="gramEnd"/>
      <w:r w:rsidRPr="00D92EDB">
        <w:rPr>
          <w:rFonts w:ascii="Times New Roman" w:eastAsia="Times New Roman" w:hAnsi="Times New Roman" w:cs="Times New Roman"/>
          <w:b/>
          <w:szCs w:val="24"/>
          <w:lang w:eastAsia="ar-SA"/>
        </w:rPr>
        <w:t xml:space="preserve"> интернат для детей с ограниченными возможностями здоровья», реализующий основные образовательные программы начального общего образования в соответствии ФГОС (приказ МО и Н РФ от 19.12.2014 года №1598 для детей с ОВЗ ) на 2021-2022 учебный год, </w:t>
      </w:r>
    </w:p>
    <w:p w:rsidR="00D92EDB" w:rsidRPr="00D92EDB" w:rsidRDefault="00D92EDB" w:rsidP="00D92EDB">
      <w:pPr>
        <w:spacing w:after="0" w:line="240" w:lineRule="auto"/>
        <w:jc w:val="center"/>
        <w:rPr>
          <w:rFonts w:ascii="Times New Roman" w:eastAsia="Calibri" w:hAnsi="Times New Roman" w:cs="Times New Roman"/>
          <w:b/>
          <w:szCs w:val="24"/>
        </w:rPr>
      </w:pPr>
      <w:r w:rsidRPr="00D92EDB">
        <w:rPr>
          <w:rFonts w:ascii="Times New Roman" w:eastAsia="Calibri" w:hAnsi="Times New Roman" w:cs="Times New Roman"/>
          <w:b/>
          <w:szCs w:val="24"/>
        </w:rPr>
        <w:t xml:space="preserve"> (надомное обучение, 3 класс)</w:t>
      </w:r>
    </w:p>
    <w:p w:rsidR="00D92EDB" w:rsidRPr="00D92EDB" w:rsidRDefault="00D92EDB" w:rsidP="00D92ED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2561"/>
        <w:gridCol w:w="3886"/>
        <w:gridCol w:w="1671"/>
        <w:gridCol w:w="1452"/>
      </w:tblGrid>
      <w:tr w:rsidR="00D92EDB" w:rsidRPr="00D92EDB" w:rsidTr="006D421F">
        <w:trPr>
          <w:trHeight w:val="420"/>
        </w:trPr>
        <w:tc>
          <w:tcPr>
            <w:tcW w:w="2650" w:type="dxa"/>
            <w:vMerge w:val="restart"/>
          </w:tcPr>
          <w:p w:rsidR="00D92EDB" w:rsidRPr="00D92EDB" w:rsidRDefault="00D92EDB" w:rsidP="00D92EDB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EDB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  <w:p w:rsidR="00D92EDB" w:rsidRPr="00D92EDB" w:rsidRDefault="00D92EDB" w:rsidP="00D92EDB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3" w:type="dxa"/>
            <w:vMerge w:val="restart"/>
          </w:tcPr>
          <w:p w:rsidR="00D92EDB" w:rsidRPr="00D92EDB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EDB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1688" w:type="dxa"/>
          </w:tcPr>
          <w:p w:rsidR="00D92EDB" w:rsidRPr="00D92EDB" w:rsidRDefault="00D92EDB" w:rsidP="00D92E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EDB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1510" w:type="dxa"/>
            <w:vMerge w:val="restart"/>
          </w:tcPr>
          <w:p w:rsidR="00D92EDB" w:rsidRPr="00D92EDB" w:rsidRDefault="00D92EDB" w:rsidP="00D92E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EDB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</w:tr>
      <w:tr w:rsidR="00D92EDB" w:rsidRPr="00D92EDB" w:rsidTr="006D421F">
        <w:trPr>
          <w:trHeight w:val="465"/>
        </w:trPr>
        <w:tc>
          <w:tcPr>
            <w:tcW w:w="2650" w:type="dxa"/>
            <w:vMerge/>
          </w:tcPr>
          <w:p w:rsidR="00D92EDB" w:rsidRPr="00D92EDB" w:rsidRDefault="00D92EDB" w:rsidP="00D92EDB">
            <w:pPr>
              <w:spacing w:line="259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3" w:type="dxa"/>
            <w:vMerge/>
          </w:tcPr>
          <w:p w:rsidR="00D92EDB" w:rsidRPr="00D92EDB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8" w:type="dxa"/>
          </w:tcPr>
          <w:p w:rsidR="00D92EDB" w:rsidRPr="00D92EDB" w:rsidRDefault="00D92EDB" w:rsidP="00D92E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92EDB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510" w:type="dxa"/>
            <w:vMerge/>
          </w:tcPr>
          <w:p w:rsidR="00D92EDB" w:rsidRPr="00D92EDB" w:rsidRDefault="00D92EDB" w:rsidP="00D92ED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92EDB" w:rsidRPr="00192F2C" w:rsidTr="006D421F">
        <w:tc>
          <w:tcPr>
            <w:tcW w:w="2650" w:type="dxa"/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1. Язык и речевая практика </w:t>
            </w:r>
          </w:p>
        </w:tc>
        <w:tc>
          <w:tcPr>
            <w:tcW w:w="4063" w:type="dxa"/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1.1 Речь и альтернативная коммуникация </w:t>
            </w:r>
          </w:p>
        </w:tc>
        <w:tc>
          <w:tcPr>
            <w:tcW w:w="1688" w:type="dxa"/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1</w:t>
            </w:r>
          </w:p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D92EDB" w:rsidRPr="00192F2C" w:rsidTr="006D421F">
        <w:trPr>
          <w:trHeight w:val="385"/>
        </w:trPr>
        <w:tc>
          <w:tcPr>
            <w:tcW w:w="2650" w:type="dxa"/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2. Математика </w:t>
            </w:r>
          </w:p>
        </w:tc>
        <w:tc>
          <w:tcPr>
            <w:tcW w:w="4063" w:type="dxa"/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2.1.Математические представления </w:t>
            </w:r>
          </w:p>
        </w:tc>
        <w:tc>
          <w:tcPr>
            <w:tcW w:w="1688" w:type="dxa"/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D92EDB" w:rsidRPr="00192F2C" w:rsidTr="006D421F">
        <w:trPr>
          <w:trHeight w:val="419"/>
        </w:trPr>
        <w:tc>
          <w:tcPr>
            <w:tcW w:w="26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3. Окружающий мир 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jc w:val="both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3.1.Окружающий природный  мир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D92EDB" w:rsidRPr="00192F2C" w:rsidTr="006D421F">
        <w:trPr>
          <w:trHeight w:val="254"/>
        </w:trPr>
        <w:tc>
          <w:tcPr>
            <w:tcW w:w="2650" w:type="dxa"/>
            <w:vMerge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D92EDB" w:rsidRPr="00192F2C" w:rsidRDefault="00D92EDB" w:rsidP="00D92EDB">
            <w:pPr>
              <w:spacing w:after="160" w:line="259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3.2 Человек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1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1</w:t>
            </w:r>
          </w:p>
        </w:tc>
      </w:tr>
      <w:tr w:rsidR="00D92EDB" w:rsidRPr="00192F2C" w:rsidTr="006D421F">
        <w:trPr>
          <w:trHeight w:val="375"/>
        </w:trPr>
        <w:tc>
          <w:tcPr>
            <w:tcW w:w="26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after="160" w:line="259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3.3. Окружающий социальный мир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0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0,5</w:t>
            </w:r>
          </w:p>
        </w:tc>
      </w:tr>
      <w:tr w:rsidR="00D92EDB" w:rsidRPr="00192F2C" w:rsidTr="006D421F">
        <w:tc>
          <w:tcPr>
            <w:tcW w:w="26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4. Искусство  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4.1 Музыка и движение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0,5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0,5 </w:t>
            </w:r>
          </w:p>
        </w:tc>
      </w:tr>
      <w:tr w:rsidR="00D92EDB" w:rsidRPr="00192F2C" w:rsidTr="006D421F">
        <w:trPr>
          <w:trHeight w:val="301"/>
        </w:trPr>
        <w:tc>
          <w:tcPr>
            <w:tcW w:w="26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after="160" w:line="259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4.2 Изобразительная деятельность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c>
          <w:tcPr>
            <w:tcW w:w="2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5. Физическая культура 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5.1 Адаптивная физкультура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c>
          <w:tcPr>
            <w:tcW w:w="26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6. Коррек</w:t>
            </w:r>
            <w:r w:rsidRPr="00192F2C">
              <w:rPr>
                <w:rFonts w:ascii="Times New Roman" w:hAnsi="Times New Roman" w:cs="Times New Roman"/>
                <w:szCs w:val="24"/>
              </w:rPr>
              <w:t>ц</w:t>
            </w: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ионно-развивающие  занятия</w:t>
            </w: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6.1. Логопедия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0,25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c>
          <w:tcPr>
            <w:tcW w:w="26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  <w:lang w:val="tt-RU"/>
              </w:rPr>
            </w:pPr>
          </w:p>
        </w:tc>
        <w:tc>
          <w:tcPr>
            <w:tcW w:w="4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left="1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6.2. Ритмика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 xml:space="preserve">Итого 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2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6</w:t>
            </w:r>
          </w:p>
        </w:tc>
      </w:tr>
      <w:tr w:rsidR="00D92EDB" w:rsidRPr="00192F2C" w:rsidTr="006D421F">
        <w:tc>
          <w:tcPr>
            <w:tcW w:w="99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i/>
                <w:szCs w:val="24"/>
              </w:rPr>
              <w:t>II. Часть, формируемая участниками образовательных отношений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 xml:space="preserve">Коррекционные курсы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510" w:type="dxa"/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1. Сенсорное развитие </w:t>
            </w:r>
          </w:p>
        </w:tc>
        <w:tc>
          <w:tcPr>
            <w:tcW w:w="168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  <w:tc>
          <w:tcPr>
            <w:tcW w:w="15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2. Предметно-практические действия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5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3. Двигательное развитие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0,25 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0,25 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4. Альтернативная коммуникация 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0,25</w:t>
            </w:r>
          </w:p>
        </w:tc>
      </w:tr>
      <w:tr w:rsidR="00D92EDB" w:rsidRPr="00192F2C" w:rsidTr="006D421F">
        <w:trPr>
          <w:trHeight w:val="386"/>
        </w:trPr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 xml:space="preserve">Итого коррекционные курсы 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Внеурочная деятельность: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1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Социальное направление </w:t>
            </w: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Курс “Азбука безопасности”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>0,2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Спортивно-оздоровительное направление </w:t>
            </w: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Курс “Будем здоровы”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t xml:space="preserve">Нравственное направление </w:t>
            </w: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Курс “Уроки добра”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  <w:lang w:val="tt-RU"/>
              </w:rPr>
            </w:pPr>
            <w:proofErr w:type="spellStart"/>
            <w:r w:rsidRPr="00192F2C">
              <w:rPr>
                <w:rFonts w:ascii="Times New Roman" w:hAnsi="Times New Roman" w:cs="Times New Roman"/>
                <w:szCs w:val="24"/>
              </w:rPr>
              <w:t>Общеинтеллектуальное</w:t>
            </w:r>
            <w:proofErr w:type="spellEnd"/>
            <w:r w:rsidRPr="00192F2C">
              <w:rPr>
                <w:rFonts w:ascii="Times New Roman" w:hAnsi="Times New Roman" w:cs="Times New Roman"/>
                <w:szCs w:val="24"/>
              </w:rPr>
              <w:t xml:space="preserve"> направление </w:t>
            </w:r>
            <w:r w:rsidRPr="00192F2C">
              <w:rPr>
                <w:rFonts w:ascii="Times New Roman" w:hAnsi="Times New Roman" w:cs="Times New Roman"/>
                <w:b/>
                <w:szCs w:val="24"/>
              </w:rPr>
              <w:t xml:space="preserve">Курс </w:t>
            </w: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“</w:t>
            </w:r>
            <w:r w:rsidRPr="00192F2C">
              <w:rPr>
                <w:rFonts w:ascii="Times New Roman" w:hAnsi="Times New Roman" w:cs="Times New Roman"/>
                <w:b/>
                <w:szCs w:val="24"/>
              </w:rPr>
              <w:t>Шаги к успешности</w:t>
            </w: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”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</w:tr>
      <w:tr w:rsidR="00D92EDB" w:rsidRPr="00192F2C" w:rsidTr="006D421F"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szCs w:val="24"/>
              </w:rPr>
            </w:pPr>
            <w:r w:rsidRPr="00192F2C">
              <w:rPr>
                <w:rFonts w:ascii="Times New Roman" w:hAnsi="Times New Roman" w:cs="Times New Roman"/>
                <w:szCs w:val="24"/>
              </w:rPr>
              <w:lastRenderedPageBreak/>
              <w:t xml:space="preserve">Общекультурное развитие личности направление </w:t>
            </w:r>
          </w:p>
          <w:p w:rsidR="00D92EDB" w:rsidRPr="00192F2C" w:rsidRDefault="00D92EDB" w:rsidP="00D92EDB">
            <w:pPr>
              <w:spacing w:line="259" w:lineRule="auto"/>
              <w:ind w:right="38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Курс “Культура и речь народов Республики Татарстан”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szCs w:val="24"/>
                <w:lang w:val="tt-RU"/>
              </w:rPr>
              <w:t>0,2</w:t>
            </w:r>
          </w:p>
        </w:tc>
      </w:tr>
      <w:tr w:rsidR="00D92EDB" w:rsidRPr="00192F2C" w:rsidTr="006D421F">
        <w:trPr>
          <w:trHeight w:val="447"/>
        </w:trPr>
        <w:tc>
          <w:tcPr>
            <w:tcW w:w="6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rPr>
                <w:rFonts w:ascii="Times New Roman" w:hAnsi="Times New Roman" w:cs="Times New Roman"/>
                <w:b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Всего к финансированию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92EDB" w:rsidRPr="00192F2C" w:rsidRDefault="00D92EDB" w:rsidP="00D92EDB">
            <w:pPr>
              <w:spacing w:line="259" w:lineRule="auto"/>
              <w:ind w:right="41"/>
              <w:jc w:val="center"/>
              <w:rPr>
                <w:rFonts w:ascii="Times New Roman" w:hAnsi="Times New Roman" w:cs="Times New Roman"/>
                <w:b/>
                <w:szCs w:val="24"/>
                <w:lang w:val="tt-RU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  <w:lang w:val="tt-RU"/>
              </w:rPr>
              <w:t>8</w:t>
            </w:r>
          </w:p>
        </w:tc>
        <w:tc>
          <w:tcPr>
            <w:tcW w:w="1510" w:type="dxa"/>
          </w:tcPr>
          <w:p w:rsidR="00D92EDB" w:rsidRPr="00192F2C" w:rsidRDefault="00D92EDB" w:rsidP="00D92EDB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192F2C">
              <w:rPr>
                <w:rFonts w:ascii="Times New Roman" w:hAnsi="Times New Roman" w:cs="Times New Roman"/>
                <w:b/>
                <w:szCs w:val="24"/>
              </w:rPr>
              <w:t>8</w:t>
            </w:r>
          </w:p>
        </w:tc>
      </w:tr>
    </w:tbl>
    <w:p w:rsidR="00D92EDB" w:rsidRPr="00192F2C" w:rsidRDefault="00D92EDB">
      <w:pPr>
        <w:rPr>
          <w:sz w:val="20"/>
        </w:rPr>
      </w:pPr>
    </w:p>
    <w:p w:rsidR="00D92EDB" w:rsidRPr="00192F2C" w:rsidRDefault="00D92EDB">
      <w:pPr>
        <w:rPr>
          <w:sz w:val="20"/>
        </w:rPr>
      </w:pPr>
    </w:p>
    <w:p w:rsidR="00D92EDB" w:rsidRPr="00192F2C" w:rsidRDefault="00D92EDB">
      <w:pPr>
        <w:rPr>
          <w:sz w:val="20"/>
        </w:rPr>
      </w:pPr>
    </w:p>
    <w:p w:rsidR="00D92EDB" w:rsidRPr="00192F2C" w:rsidRDefault="00D92EDB">
      <w:pPr>
        <w:rPr>
          <w:sz w:val="20"/>
        </w:rPr>
      </w:pPr>
    </w:p>
    <w:p w:rsidR="00D92EDB" w:rsidRPr="00192F2C" w:rsidRDefault="00D92EDB">
      <w:pPr>
        <w:rPr>
          <w:sz w:val="20"/>
        </w:rPr>
      </w:pPr>
    </w:p>
    <w:sectPr w:rsidR="00D92EDB" w:rsidRPr="00192F2C" w:rsidSect="00192F2C">
      <w:footerReference w:type="default" r:id="rId9"/>
      <w:pgSz w:w="11906" w:h="16838"/>
      <w:pgMar w:top="993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2A8B" w:rsidRDefault="003C2A8B" w:rsidP="00192F2C">
      <w:pPr>
        <w:spacing w:after="0" w:line="240" w:lineRule="auto"/>
      </w:pPr>
      <w:r>
        <w:separator/>
      </w:r>
    </w:p>
  </w:endnote>
  <w:endnote w:type="continuationSeparator" w:id="0">
    <w:p w:rsidR="003C2A8B" w:rsidRDefault="003C2A8B" w:rsidP="00192F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MT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9996911"/>
      <w:docPartObj>
        <w:docPartGallery w:val="Page Numbers (Bottom of Page)"/>
        <w:docPartUnique/>
      </w:docPartObj>
    </w:sdtPr>
    <w:sdtEndPr/>
    <w:sdtContent>
      <w:p w:rsidR="00192F2C" w:rsidRDefault="00192F2C">
        <w:pPr>
          <w:pStyle w:val="af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2550">
          <w:rPr>
            <w:noProof/>
          </w:rPr>
          <w:t>10</w:t>
        </w:r>
        <w:r>
          <w:fldChar w:fldCharType="end"/>
        </w:r>
      </w:p>
    </w:sdtContent>
  </w:sdt>
  <w:p w:rsidR="00192F2C" w:rsidRDefault="00192F2C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2A8B" w:rsidRDefault="003C2A8B" w:rsidP="00192F2C">
      <w:pPr>
        <w:spacing w:after="0" w:line="240" w:lineRule="auto"/>
      </w:pPr>
      <w:r>
        <w:separator/>
      </w:r>
    </w:p>
  </w:footnote>
  <w:footnote w:type="continuationSeparator" w:id="0">
    <w:p w:rsidR="003C2A8B" w:rsidRDefault="003C2A8B" w:rsidP="00192F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2DA"/>
    <w:rsid w:val="00192F2C"/>
    <w:rsid w:val="00352550"/>
    <w:rsid w:val="003532DA"/>
    <w:rsid w:val="003C2A8B"/>
    <w:rsid w:val="003E40D8"/>
    <w:rsid w:val="005814BA"/>
    <w:rsid w:val="0070046B"/>
    <w:rsid w:val="00857E4E"/>
    <w:rsid w:val="00904C52"/>
    <w:rsid w:val="009331E9"/>
    <w:rsid w:val="00A33D8F"/>
    <w:rsid w:val="00D92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table" w:styleId="af4">
    <w:name w:val="Table Grid"/>
    <w:basedOn w:val="a1"/>
    <w:uiPriority w:val="59"/>
    <w:rsid w:val="00D92ED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192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192F2C"/>
  </w:style>
  <w:style w:type="paragraph" w:styleId="af7">
    <w:name w:val="footer"/>
    <w:basedOn w:val="a"/>
    <w:link w:val="af8"/>
    <w:uiPriority w:val="99"/>
    <w:unhideWhenUsed/>
    <w:rsid w:val="00192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192F2C"/>
  </w:style>
  <w:style w:type="paragraph" w:styleId="af9">
    <w:name w:val="Balloon Text"/>
    <w:basedOn w:val="a"/>
    <w:link w:val="afa"/>
    <w:uiPriority w:val="99"/>
    <w:semiHidden/>
    <w:unhideWhenUsed/>
    <w:rsid w:val="00192F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192F2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D8F"/>
  </w:style>
  <w:style w:type="paragraph" w:styleId="1">
    <w:name w:val="heading 1"/>
    <w:basedOn w:val="a"/>
    <w:next w:val="a"/>
    <w:link w:val="10"/>
    <w:uiPriority w:val="9"/>
    <w:qFormat/>
    <w:rsid w:val="00A33D8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33D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33D8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33D8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33D8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33D8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33D8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33D8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33D8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3D8F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A33D8F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A33D8F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A33D8F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A33D8F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A33D8F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33D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33D8F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33D8F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A33D8F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A33D8F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33D8F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styleId="a8">
    <w:name w:val="Strong"/>
    <w:basedOn w:val="a0"/>
    <w:uiPriority w:val="22"/>
    <w:qFormat/>
    <w:rsid w:val="00A33D8F"/>
    <w:rPr>
      <w:b/>
      <w:bCs/>
    </w:rPr>
  </w:style>
  <w:style w:type="character" w:styleId="a9">
    <w:name w:val="Emphasis"/>
    <w:basedOn w:val="a0"/>
    <w:uiPriority w:val="20"/>
    <w:qFormat/>
    <w:rsid w:val="00A33D8F"/>
    <w:rPr>
      <w:i/>
      <w:iCs/>
    </w:rPr>
  </w:style>
  <w:style w:type="paragraph" w:styleId="aa">
    <w:name w:val="No Spacing"/>
    <w:uiPriority w:val="1"/>
    <w:qFormat/>
    <w:rsid w:val="00A33D8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33D8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33D8F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A33D8F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A33D8F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A33D8F"/>
    <w:rPr>
      <w:b/>
      <w:bCs/>
      <w:i/>
      <w:iCs/>
      <w:color w:val="92278F" w:themeColor="accent1"/>
    </w:rPr>
  </w:style>
  <w:style w:type="character" w:styleId="ae">
    <w:name w:val="Subtle Emphasis"/>
    <w:basedOn w:val="a0"/>
    <w:uiPriority w:val="19"/>
    <w:qFormat/>
    <w:rsid w:val="00A33D8F"/>
    <w:rPr>
      <w:i/>
      <w:iCs/>
      <w:color w:val="808080" w:themeColor="text1" w:themeTint="7F"/>
    </w:rPr>
  </w:style>
  <w:style w:type="character" w:styleId="af">
    <w:name w:val="Intense Emphasis"/>
    <w:basedOn w:val="a0"/>
    <w:uiPriority w:val="21"/>
    <w:qFormat/>
    <w:rsid w:val="00A33D8F"/>
    <w:rPr>
      <w:b/>
      <w:bCs/>
      <w:i/>
      <w:iCs/>
      <w:color w:val="92278F" w:themeColor="accent1"/>
    </w:rPr>
  </w:style>
  <w:style w:type="character" w:styleId="af0">
    <w:name w:val="Subtle Reference"/>
    <w:basedOn w:val="a0"/>
    <w:uiPriority w:val="31"/>
    <w:qFormat/>
    <w:rsid w:val="00A33D8F"/>
    <w:rPr>
      <w:smallCaps/>
      <w:color w:val="9B57D3" w:themeColor="accent2"/>
      <w:u w:val="single"/>
    </w:rPr>
  </w:style>
  <w:style w:type="character" w:styleId="af1">
    <w:name w:val="Intense Reference"/>
    <w:basedOn w:val="a0"/>
    <w:uiPriority w:val="32"/>
    <w:qFormat/>
    <w:rsid w:val="00A33D8F"/>
    <w:rPr>
      <w:b/>
      <w:bCs/>
      <w:smallCaps/>
      <w:color w:val="9B57D3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A33D8F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A33D8F"/>
    <w:pPr>
      <w:outlineLvl w:val="9"/>
    </w:pPr>
  </w:style>
  <w:style w:type="table" w:styleId="af4">
    <w:name w:val="Table Grid"/>
    <w:basedOn w:val="a1"/>
    <w:uiPriority w:val="59"/>
    <w:rsid w:val="00D92EDB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192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192F2C"/>
  </w:style>
  <w:style w:type="paragraph" w:styleId="af7">
    <w:name w:val="footer"/>
    <w:basedOn w:val="a"/>
    <w:link w:val="af8"/>
    <w:uiPriority w:val="99"/>
    <w:unhideWhenUsed/>
    <w:rsid w:val="00192F2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192F2C"/>
  </w:style>
  <w:style w:type="paragraph" w:styleId="af9">
    <w:name w:val="Balloon Text"/>
    <w:basedOn w:val="a"/>
    <w:link w:val="afa"/>
    <w:uiPriority w:val="99"/>
    <w:semiHidden/>
    <w:unhideWhenUsed/>
    <w:rsid w:val="00192F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a">
    <w:name w:val="Текст выноски Знак"/>
    <w:basedOn w:val="a0"/>
    <w:link w:val="af9"/>
    <w:uiPriority w:val="99"/>
    <w:semiHidden/>
    <w:rsid w:val="00192F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Фиолетовый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3292</Words>
  <Characters>18770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</cp:revision>
  <cp:lastPrinted>2021-09-01T16:18:00Z</cp:lastPrinted>
  <dcterms:created xsi:type="dcterms:W3CDTF">2021-09-22T05:59:00Z</dcterms:created>
  <dcterms:modified xsi:type="dcterms:W3CDTF">2021-09-22T05:59:00Z</dcterms:modified>
</cp:coreProperties>
</file>